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951" w:rsidRPr="008D124B" w:rsidRDefault="002F1F26" w:rsidP="00E9095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Ko</w:t>
      </w:r>
      <w:r w:rsidR="00E90951" w:rsidRPr="008D124B">
        <w:rPr>
          <w:rFonts w:ascii="Times New Roman" w:hAnsi="Times New Roman" w:cs="Times New Roman"/>
          <w:b/>
          <w:bCs/>
          <w:sz w:val="24"/>
          <w:szCs w:val="24"/>
        </w:rPr>
        <w:t>mpetencia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és kulcskompetenciák</w:t>
      </w:r>
    </w:p>
    <w:p w:rsidR="008D124B" w:rsidRPr="008D124B" w:rsidRDefault="008D124B" w:rsidP="00E90951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8D124B" w:rsidRPr="008D124B" w:rsidRDefault="008D124B" w:rsidP="00E90951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D124B">
        <w:rPr>
          <w:rFonts w:ascii="Times New Roman" w:hAnsi="Times New Roman" w:cs="Times New Roman"/>
          <w:b/>
          <w:bCs/>
          <w:sz w:val="20"/>
          <w:szCs w:val="20"/>
        </w:rPr>
        <w:t>A kompetencia meghatározása</w:t>
      </w:r>
    </w:p>
    <w:p w:rsidR="008D124B" w:rsidRDefault="00E90951" w:rsidP="00E90951">
      <w:pPr>
        <w:jc w:val="both"/>
        <w:rPr>
          <w:rFonts w:ascii="Times New Roman" w:hAnsi="Times New Roman" w:cs="Times New Roman"/>
          <w:sz w:val="20"/>
          <w:szCs w:val="20"/>
        </w:rPr>
      </w:pPr>
      <w:r w:rsidRPr="008D124B">
        <w:rPr>
          <w:rFonts w:ascii="Times New Roman" w:hAnsi="Times New Roman" w:cs="Times New Roman"/>
          <w:sz w:val="20"/>
          <w:szCs w:val="20"/>
        </w:rPr>
        <w:t xml:space="preserve">A kompetencia hétköznapi, a mindennapokban gyakran használt jelentése olvasható a Magyar értelmező kéziszótárban (2002. 752. o.): a kompetencia illetékesség, hatáskör – valaki kompetenciával bír adott területen, kompetens valamiben. Ehhez hasonló az Idegen szavak és kifejezések kéziszótárának (1996. 225. o.) két meghatározása: a kompetencia az egyén tevékenysége, annak különböző aspektusai alapján illetékességet, jogosultságot és szakértelmet jelent – viszonyt egyén és tevékenység között. A kéziszótár harmadik meghatározása a nyelvtanhoz fűződik: anyanyelvi rendszer, grammatikai szabályok és azok ismerete. </w:t>
      </w:r>
    </w:p>
    <w:p w:rsidR="008D124B" w:rsidRDefault="00E90951" w:rsidP="00E90951">
      <w:pPr>
        <w:jc w:val="both"/>
        <w:rPr>
          <w:rFonts w:ascii="Times New Roman" w:hAnsi="Times New Roman" w:cs="Times New Roman"/>
          <w:sz w:val="20"/>
          <w:szCs w:val="20"/>
        </w:rPr>
      </w:pPr>
      <w:r w:rsidRPr="008D124B">
        <w:rPr>
          <w:rFonts w:ascii="Times New Roman" w:hAnsi="Times New Roman" w:cs="Times New Roman"/>
          <w:sz w:val="20"/>
          <w:szCs w:val="20"/>
        </w:rPr>
        <w:t xml:space="preserve">Csapó Benő (2004) szerint a kompetencia pszichológiailag meghatározott rendszer, ami által a személyiség fejlődésének lehetőségei nagyrészt öröklött sémákon alapulnak, különböző képességek és készségek sajátos szerveződése. </w:t>
      </w:r>
    </w:p>
    <w:p w:rsidR="008D124B" w:rsidRDefault="00E90951" w:rsidP="00E90951">
      <w:pPr>
        <w:jc w:val="both"/>
        <w:rPr>
          <w:rFonts w:ascii="Times New Roman" w:hAnsi="Times New Roman" w:cs="Times New Roman"/>
          <w:sz w:val="20"/>
          <w:szCs w:val="20"/>
        </w:rPr>
      </w:pPr>
      <w:r w:rsidRPr="008D124B">
        <w:rPr>
          <w:rFonts w:ascii="Times New Roman" w:hAnsi="Times New Roman" w:cs="Times New Roman"/>
          <w:sz w:val="20"/>
          <w:szCs w:val="20"/>
        </w:rPr>
        <w:t xml:space="preserve">Nagy József (2007. 27. o.) a kompetenciát komponensrendszernek, a személyiség motívum- és tudásrendszerének tekinti, „az aktivitás, a döntés és kivitelezés egységes pszichikus feltétele, eszköze; a motívum és a tudás átfogó funkcionális rendszere”. </w:t>
      </w:r>
    </w:p>
    <w:p w:rsidR="008D124B" w:rsidRDefault="00E90951" w:rsidP="00E90951">
      <w:pPr>
        <w:jc w:val="both"/>
        <w:rPr>
          <w:rFonts w:ascii="Times New Roman" w:hAnsi="Times New Roman" w:cs="Times New Roman"/>
          <w:sz w:val="20"/>
          <w:szCs w:val="20"/>
        </w:rPr>
      </w:pPr>
      <w:r w:rsidRPr="008D124B">
        <w:rPr>
          <w:rFonts w:ascii="Times New Roman" w:hAnsi="Times New Roman" w:cs="Times New Roman"/>
          <w:sz w:val="20"/>
          <w:szCs w:val="20"/>
        </w:rPr>
        <w:t xml:space="preserve">Rose-Krasnor (1997) szerint a kompetencia a viselkedések eredményeként az emberi interakciók hatékonyságát biztosítja, sajátos szociális, érzelmi és kognitív képességekből, viselkedésekből és motivációkból áll, amelyek elsődlegesen az egyéntől függnek. </w:t>
      </w:r>
    </w:p>
    <w:p w:rsidR="008D124B" w:rsidRDefault="00E90951" w:rsidP="00E90951">
      <w:pPr>
        <w:jc w:val="both"/>
        <w:rPr>
          <w:rFonts w:ascii="Times New Roman" w:hAnsi="Times New Roman" w:cs="Times New Roman"/>
          <w:sz w:val="20"/>
          <w:szCs w:val="20"/>
        </w:rPr>
      </w:pPr>
      <w:r w:rsidRPr="008D124B">
        <w:rPr>
          <w:rFonts w:ascii="Times New Roman" w:hAnsi="Times New Roman" w:cs="Times New Roman"/>
          <w:sz w:val="20"/>
          <w:szCs w:val="20"/>
        </w:rPr>
        <w:t xml:space="preserve">Meichenbaum, Butler és Gruson (1981) szerint a kompetencia fő alkotórészei a következők: (1) megfigyelhető viselkedés; (2) kognitív folyamatok; (3) kognitív struktúrák. A megfigyelhető viselkedés az egyénnek a társas helyzetben megnyilvánuló verbális és nem verbális cselekedeteit jelzi, a kognitív folyamatok azon gondolatok és képzetek, amelyek megelőzik, kísérik vagy követik a megfigyelhető viselkedést, a kognitív struktúrák fogalma pedig az egyén jelentéshálójára utal, szerepe a viselkedés motivációja és irányítása.  </w:t>
      </w:r>
    </w:p>
    <w:p w:rsidR="008D124B" w:rsidRDefault="00E90951" w:rsidP="00E90951">
      <w:pPr>
        <w:jc w:val="both"/>
        <w:rPr>
          <w:rFonts w:ascii="Times New Roman" w:hAnsi="Times New Roman" w:cs="Times New Roman"/>
          <w:sz w:val="20"/>
          <w:szCs w:val="20"/>
        </w:rPr>
      </w:pPr>
      <w:r w:rsidRPr="008D124B">
        <w:rPr>
          <w:rFonts w:ascii="Times New Roman" w:hAnsi="Times New Roman" w:cs="Times New Roman"/>
          <w:sz w:val="20"/>
          <w:szCs w:val="20"/>
        </w:rPr>
        <w:t xml:space="preserve">Dubois (1993), valamint Lucia és Lepsinger (1999) alapján a kompetencia gyűjtőfogalom annak megjelölésére, hogy ismereteinket, készségeinket, képességeinket, érzelmi viszonyulásunkat sikeresen tudjuk alkalmazni különböző helyzetekben, megfelelően működjünk adott státuszban és szerepben, jól mozgósítsuk érzelmi, attitűdbeli, kognitív és testi adottságainkat. </w:t>
      </w:r>
    </w:p>
    <w:p w:rsidR="00E90951" w:rsidRPr="008D124B" w:rsidRDefault="00E90951" w:rsidP="00E90951">
      <w:pPr>
        <w:jc w:val="both"/>
        <w:rPr>
          <w:rFonts w:ascii="Times New Roman" w:hAnsi="Times New Roman" w:cs="Times New Roman"/>
          <w:sz w:val="20"/>
          <w:szCs w:val="20"/>
        </w:rPr>
      </w:pPr>
      <w:r w:rsidRPr="008D124B">
        <w:rPr>
          <w:rFonts w:ascii="Times New Roman" w:hAnsi="Times New Roman" w:cs="Times New Roman"/>
          <w:sz w:val="20"/>
          <w:szCs w:val="20"/>
        </w:rPr>
        <w:t xml:space="preserve">Boyatzis (1982) és Fogg (1999) mindezt a munkára vonatkoztatva megállapítja, hogy a kompetencia a külső (környezeti, munkafeltételek) és a belső (személyiség) jellemzők, a sikeres, hatékony, eredményes munka feltételeinek egymásra hatása, kölcsönhatása. Alapvető fontosságú ez a kölcsönhatás abban, ahogyan az egyén észleli munkáját, viszonyul ahhoz, a külső és a belső környezet kölcsönhatását folyamatosan figyelembe véve végzi munkáját. Delemare Le Deist és Winterton (2005) szerint e kölcsönhatáson alapuló pszichikus rendszer egyes jellemzői sokáig megmaradnak (a személyiség állandósult tulajdonságaivá válnak), míg mások könnyebben, gyorsabban változnak, változtathatók.  </w:t>
      </w:r>
    </w:p>
    <w:p w:rsidR="008D124B" w:rsidRDefault="008D124B" w:rsidP="00E90951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E90951" w:rsidRPr="008D124B" w:rsidRDefault="008D124B" w:rsidP="00E90951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K</w:t>
      </w:r>
      <w:r w:rsidR="00E90951" w:rsidRPr="008D124B">
        <w:rPr>
          <w:rFonts w:ascii="Times New Roman" w:hAnsi="Times New Roman" w:cs="Times New Roman"/>
          <w:b/>
          <w:bCs/>
          <w:sz w:val="20"/>
          <w:szCs w:val="20"/>
        </w:rPr>
        <w:t>ulcskompetenciá</w:t>
      </w:r>
      <w:r>
        <w:rPr>
          <w:rFonts w:ascii="Times New Roman" w:hAnsi="Times New Roman" w:cs="Times New Roman"/>
          <w:b/>
          <w:bCs/>
          <w:sz w:val="20"/>
          <w:szCs w:val="20"/>
        </w:rPr>
        <w:t>k</w:t>
      </w:r>
    </w:p>
    <w:p w:rsidR="00E90951" w:rsidRPr="008D124B" w:rsidRDefault="00E90951" w:rsidP="008D124B">
      <w:pPr>
        <w:jc w:val="both"/>
        <w:rPr>
          <w:rFonts w:ascii="Times New Roman" w:hAnsi="Times New Roman" w:cs="Times New Roman"/>
          <w:sz w:val="20"/>
          <w:szCs w:val="20"/>
        </w:rPr>
      </w:pPr>
      <w:r w:rsidRPr="008D124B">
        <w:rPr>
          <w:rFonts w:ascii="Times New Roman" w:hAnsi="Times New Roman" w:cs="Times New Roman"/>
          <w:sz w:val="20"/>
          <w:szCs w:val="20"/>
        </w:rPr>
        <w:t xml:space="preserve">A kulcskompetenciák a személyiség alaprendszerének legátfogóbb funkcionális rendszerei, motívum- és tudásrendszerek, ezek összetevői a különböző alapösszetevők (Nagy, 2010), fejlesztésük az iskolák kiemelt nevelési-oktatási feladatai közé tartozik. </w:t>
      </w:r>
    </w:p>
    <w:p w:rsidR="008D124B" w:rsidRDefault="00E90951" w:rsidP="008D124B">
      <w:pPr>
        <w:jc w:val="both"/>
        <w:rPr>
          <w:rFonts w:ascii="Times New Roman" w:hAnsi="Times New Roman" w:cs="Times New Roman"/>
          <w:sz w:val="20"/>
          <w:szCs w:val="20"/>
        </w:rPr>
      </w:pPr>
      <w:r w:rsidRPr="008D124B">
        <w:rPr>
          <w:rFonts w:ascii="Times New Roman" w:hAnsi="Times New Roman" w:cs="Times New Roman"/>
          <w:sz w:val="20"/>
          <w:szCs w:val="20"/>
        </w:rPr>
        <w:t xml:space="preserve">A nyelvi kulcskompetencia – az anyanyelv – az alaprendszer fogalmi szintű működését, valamint a személyiség fogalmi szintű aktivitását teszi lehetővé. E kulcskompetencia működése által lehetséges a többi kulcskompetencia fogalmi szintű működése. </w:t>
      </w:r>
    </w:p>
    <w:p w:rsidR="008D124B" w:rsidRDefault="00E90951" w:rsidP="008D124B">
      <w:pPr>
        <w:jc w:val="both"/>
        <w:rPr>
          <w:rFonts w:ascii="Times New Roman" w:hAnsi="Times New Roman" w:cs="Times New Roman"/>
          <w:sz w:val="20"/>
          <w:szCs w:val="20"/>
        </w:rPr>
      </w:pPr>
      <w:r w:rsidRPr="008D124B">
        <w:rPr>
          <w:rFonts w:ascii="Times New Roman" w:hAnsi="Times New Roman" w:cs="Times New Roman"/>
          <w:sz w:val="20"/>
          <w:szCs w:val="20"/>
        </w:rPr>
        <w:t xml:space="preserve">A kognitív kulcskompetenciák (tudásszerző, tudásfeltáró, gondolkodási, tanulási) átfedik egymást, tehát nemcsak külön-külön, hanem egymást segítve is működhetnek (például a tudásszerző működteti a gondolkodásit és tanulást is eredményezhet). </w:t>
      </w:r>
    </w:p>
    <w:p w:rsidR="00E90951" w:rsidRPr="008D124B" w:rsidRDefault="00E90951" w:rsidP="008D124B">
      <w:pPr>
        <w:jc w:val="both"/>
        <w:rPr>
          <w:rFonts w:ascii="Times New Roman" w:hAnsi="Times New Roman" w:cs="Times New Roman"/>
          <w:sz w:val="20"/>
          <w:szCs w:val="20"/>
        </w:rPr>
      </w:pPr>
      <w:r w:rsidRPr="008D124B">
        <w:rPr>
          <w:rFonts w:ascii="Times New Roman" w:hAnsi="Times New Roman" w:cs="Times New Roman"/>
          <w:sz w:val="20"/>
          <w:szCs w:val="20"/>
        </w:rPr>
        <w:lastRenderedPageBreak/>
        <w:t>A személyes (önvédő, önellátó, önismerő, önfejlesztő) és a szociális (kommunikatív, proszociális, együttélési, érdekérvényesítő) kulcskompetenciák a nyelvi kulcskompetencia mellett a kognitív kulcskompetenciák működésétől is jelentős mértékben függnek, illetve – feltételezve a területek közötti kétirányú interakciót – befolyásolják azok működését.</w:t>
      </w:r>
    </w:p>
    <w:p w:rsidR="002F1F26" w:rsidRDefault="00E90951" w:rsidP="008D124B">
      <w:pPr>
        <w:jc w:val="both"/>
        <w:rPr>
          <w:rFonts w:ascii="Times New Roman" w:hAnsi="Times New Roman" w:cs="Times New Roman"/>
          <w:sz w:val="20"/>
          <w:szCs w:val="20"/>
        </w:rPr>
      </w:pPr>
      <w:r w:rsidRPr="008D124B">
        <w:rPr>
          <w:rFonts w:ascii="Times New Roman" w:hAnsi="Times New Roman" w:cs="Times New Roman"/>
          <w:sz w:val="20"/>
          <w:szCs w:val="20"/>
        </w:rPr>
        <w:t xml:space="preserve">A kulcskompetenciák Nagy József-féle rendszere részben eltér az EU által 2004ben meghatározott nyolc kulcskompetenciától (key competences): anyanyelvi kommunikáció; idegen nyelvi kommunikáció; matematikai, természettudományi és technológiai; digitális; tanulás tanulása; személyközi és állampolgári; vállalkozói; kulturális (European Commission, 2004; Proposal…, 2005). Szintén részben más a Nemzeti alaptanterv (2012) által kijelölt kulcskompetenciák köre: anyanyelvi kommunikáció; idegen nyelvi kommunikáció; matematikai; természettudományos; digitális; hatékony, önálló tanulás; szociális és állampolgári; kezdeményezőképesség és vállalkozói; esztétikai-művészeti tudatosság és kifejezőkészség. Ugyanakkor akár a Nagy József-i rendszerről, akár az EU vagy a Nemzeti alaptanterv által megfogalmazott kulcskompetencia-listáról van szó, az elsajátításukkal, a hatékony és az egyre tudatosabb működésükkel és működtetésükkel kapcsolatos meggyőződés azonos: erre minden állampolgárnak szüksége van személyes boldogulása, önmegvalósítása, fejlődése, társadalmi beilleszkedése, foglalkoztatása, valamint a társadalom fejlődésének, pozitív irányú változásának érdekében (Nagy, 2010).  </w:t>
      </w:r>
    </w:p>
    <w:p w:rsidR="00E90951" w:rsidRDefault="00E90951" w:rsidP="008D124B">
      <w:pPr>
        <w:jc w:val="both"/>
        <w:rPr>
          <w:rFonts w:ascii="Times New Roman" w:hAnsi="Times New Roman" w:cs="Times New Roman"/>
          <w:sz w:val="20"/>
          <w:szCs w:val="20"/>
        </w:rPr>
      </w:pPr>
      <w:r w:rsidRPr="008D124B">
        <w:rPr>
          <w:rFonts w:ascii="Times New Roman" w:hAnsi="Times New Roman" w:cs="Times New Roman"/>
          <w:sz w:val="20"/>
          <w:szCs w:val="20"/>
        </w:rPr>
        <w:t xml:space="preserve">A kulcskompetenciák rendszerét az Európai Parlament és a Tanács 2006 decemberében fogadta el. Magyarországon a Nemzeti alaptantervben a 2007-es módosítás részeként jelent meg először a nyolc kulcskompetenciát tartalmazó keretrendszer. Az Európai Parlament és a Tanács ajánlása az élethosszig tartó tanuláshoz szükséges kulcskompetenciákról (2005) alapján minden tagállam legfontosabb oktatásinevelési feladata, hogy az alapoktatás és a szakképzés végére a kulcskompetenciák magas szintű elsajátítása, működése legyen jellemző minden egyénre, valamint felkészítse őket arra, hogy ezeket a kompetenciákat az élethosszig tartó tanulás részeként egész életük során folyamatosan fejleszteniük, gondozniuk és frissíteniük kell.  </w:t>
      </w:r>
    </w:p>
    <w:p w:rsidR="008D124B" w:rsidRDefault="008D124B" w:rsidP="008D124B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8D124B" w:rsidRPr="008D124B" w:rsidRDefault="008D124B" w:rsidP="008D124B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fent</w:t>
      </w:r>
      <w:r w:rsidR="002F1F26">
        <w:rPr>
          <w:rFonts w:ascii="Times New Roman" w:hAnsi="Times New Roman" w:cs="Times New Roman"/>
          <w:sz w:val="20"/>
          <w:szCs w:val="20"/>
        </w:rPr>
        <w:t>i kivonat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D124B">
        <w:rPr>
          <w:rFonts w:ascii="Times New Roman" w:hAnsi="Times New Roman" w:cs="Times New Roman"/>
          <w:sz w:val="20"/>
          <w:szCs w:val="20"/>
        </w:rPr>
        <w:t xml:space="preserve">Dr. Budavári-Takács Ildikó </w:t>
      </w:r>
      <w:r>
        <w:rPr>
          <w:rFonts w:ascii="Times New Roman" w:hAnsi="Times New Roman" w:cs="Times New Roman"/>
          <w:sz w:val="20"/>
          <w:szCs w:val="20"/>
        </w:rPr>
        <w:t xml:space="preserve">és </w:t>
      </w:r>
      <w:r w:rsidRPr="008D124B">
        <w:rPr>
          <w:rFonts w:ascii="Times New Roman" w:hAnsi="Times New Roman" w:cs="Times New Roman"/>
          <w:sz w:val="20"/>
          <w:szCs w:val="20"/>
        </w:rPr>
        <w:t xml:space="preserve">Dr. Kasik László </w:t>
      </w:r>
      <w:r>
        <w:rPr>
          <w:rFonts w:ascii="Times New Roman" w:hAnsi="Times New Roman" w:cs="Times New Roman"/>
          <w:sz w:val="20"/>
          <w:szCs w:val="20"/>
        </w:rPr>
        <w:t xml:space="preserve">szerzők </w:t>
      </w:r>
      <w:r w:rsidR="002F1F26">
        <w:rPr>
          <w:rFonts w:ascii="Times New Roman" w:hAnsi="Times New Roman" w:cs="Times New Roman"/>
          <w:sz w:val="20"/>
          <w:szCs w:val="20"/>
        </w:rPr>
        <w:t>(</w:t>
      </w:r>
      <w:r w:rsidR="002F1F26" w:rsidRPr="008D124B">
        <w:rPr>
          <w:rFonts w:ascii="Times New Roman" w:hAnsi="Times New Roman" w:cs="Times New Roman"/>
          <w:sz w:val="20"/>
          <w:szCs w:val="20"/>
        </w:rPr>
        <w:t>Budapest, 2013</w:t>
      </w:r>
      <w:r w:rsidR="002F1F26">
        <w:rPr>
          <w:rFonts w:ascii="Times New Roman" w:hAnsi="Times New Roman" w:cs="Times New Roman"/>
          <w:sz w:val="20"/>
          <w:szCs w:val="20"/>
        </w:rPr>
        <w:t xml:space="preserve">) </w:t>
      </w:r>
      <w:r>
        <w:rPr>
          <w:rFonts w:ascii="Times New Roman" w:hAnsi="Times New Roman" w:cs="Times New Roman"/>
          <w:sz w:val="20"/>
          <w:szCs w:val="20"/>
        </w:rPr>
        <w:t xml:space="preserve">által az </w:t>
      </w:r>
      <w:r w:rsidRPr="008D124B">
        <w:rPr>
          <w:rFonts w:ascii="Times New Roman" w:hAnsi="Times New Roman" w:cs="Times New Roman"/>
          <w:sz w:val="20"/>
          <w:szCs w:val="20"/>
        </w:rPr>
        <w:t>Advocata Kft. megbízásából</w:t>
      </w:r>
      <w:r>
        <w:rPr>
          <w:rFonts w:ascii="Times New Roman" w:hAnsi="Times New Roman" w:cs="Times New Roman"/>
          <w:sz w:val="20"/>
          <w:szCs w:val="20"/>
        </w:rPr>
        <w:t xml:space="preserve"> készített </w:t>
      </w:r>
      <w:r w:rsidRPr="008D124B">
        <w:rPr>
          <w:rFonts w:ascii="Times New Roman" w:hAnsi="Times New Roman" w:cs="Times New Roman"/>
          <w:sz w:val="20"/>
          <w:szCs w:val="20"/>
        </w:rPr>
        <w:t>ÖNÉRTÉKELŐ ÉS EGYÉB ELJÁRÁSOK FEJLESZTÉSE AZ EGÉSZ ÉLETEN ÁT TARTÓ PÁLYAORIENTÁCIÓS TEVÉKENYSÉG TÁMOGATÁSÁRA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D124B">
        <w:rPr>
          <w:rFonts w:ascii="Times New Roman" w:hAnsi="Times New Roman" w:cs="Times New Roman"/>
          <w:sz w:val="20"/>
          <w:szCs w:val="20"/>
        </w:rPr>
        <w:t>(ÁLTALÁNOS ISKOLÁSOK, KÖZÉPISKOLÁSOK ÉS ÁLLÁSKERESŐK SZÁMÁRA)</w:t>
      </w:r>
      <w:r>
        <w:rPr>
          <w:rFonts w:ascii="Times New Roman" w:hAnsi="Times New Roman" w:cs="Times New Roman"/>
          <w:sz w:val="20"/>
          <w:szCs w:val="20"/>
        </w:rPr>
        <w:t xml:space="preserve"> tananyag alapján</w:t>
      </w:r>
      <w:r w:rsidR="002F1F26">
        <w:rPr>
          <w:rFonts w:ascii="Times New Roman" w:hAnsi="Times New Roman" w:cs="Times New Roman"/>
          <w:sz w:val="20"/>
          <w:szCs w:val="20"/>
        </w:rPr>
        <w:t xml:space="preserve"> került összeállításra.</w:t>
      </w:r>
    </w:p>
    <w:p w:rsidR="008D124B" w:rsidRPr="008D124B" w:rsidRDefault="008D124B" w:rsidP="008D124B">
      <w:pPr>
        <w:jc w:val="both"/>
        <w:rPr>
          <w:rFonts w:ascii="Times New Roman" w:hAnsi="Times New Roman" w:cs="Times New Roman"/>
          <w:sz w:val="20"/>
          <w:szCs w:val="20"/>
        </w:rPr>
      </w:pPr>
      <w:r w:rsidRPr="008D124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8D124B" w:rsidRPr="008D124B" w:rsidRDefault="008D124B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8D124B" w:rsidRPr="008D124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5A7F" w:rsidRDefault="001E5A7F" w:rsidP="00AB07FE">
      <w:pPr>
        <w:spacing w:after="0" w:line="240" w:lineRule="auto"/>
      </w:pPr>
      <w:r>
        <w:separator/>
      </w:r>
    </w:p>
  </w:endnote>
  <w:endnote w:type="continuationSeparator" w:id="0">
    <w:p w:rsidR="001E5A7F" w:rsidRDefault="001E5A7F" w:rsidP="00AB0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07FE" w:rsidRDefault="00AB07F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07FE" w:rsidRDefault="00AB07FE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07FE" w:rsidRDefault="00AB07F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5A7F" w:rsidRDefault="001E5A7F" w:rsidP="00AB07FE">
      <w:pPr>
        <w:spacing w:after="0" w:line="240" w:lineRule="auto"/>
      </w:pPr>
      <w:r>
        <w:separator/>
      </w:r>
    </w:p>
  </w:footnote>
  <w:footnote w:type="continuationSeparator" w:id="0">
    <w:p w:rsidR="001E5A7F" w:rsidRDefault="001E5A7F" w:rsidP="00AB07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07FE" w:rsidRDefault="00AB07FE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07FE" w:rsidRDefault="00AB07FE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07FE" w:rsidRDefault="00AB07FE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951"/>
    <w:rsid w:val="001E5A7F"/>
    <w:rsid w:val="002F1F26"/>
    <w:rsid w:val="00666C7E"/>
    <w:rsid w:val="008D124B"/>
    <w:rsid w:val="00AB07FE"/>
    <w:rsid w:val="00E90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AB07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B07FE"/>
  </w:style>
  <w:style w:type="paragraph" w:styleId="llb">
    <w:name w:val="footer"/>
    <w:basedOn w:val="Norml"/>
    <w:link w:val="llbChar"/>
    <w:uiPriority w:val="99"/>
    <w:unhideWhenUsed/>
    <w:rsid w:val="00AB07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B07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802</Words>
  <Characters>5534</Characters>
  <Application>Microsoft Office Word</Application>
  <DocSecurity>0</DocSecurity>
  <Lines>46</Lines>
  <Paragraphs>12</Paragraphs>
  <ScaleCrop>false</ScaleCrop>
  <Company/>
  <LinksUpToDate>false</LinksUpToDate>
  <CharactersWithSpaces>6324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2020-05-25T14:04:00Z</dcterms:created>
  <dcterms:modified xsi:type="dcterms:W3CDTF">2020-05-25T14:04:00Z</dcterms:modified>
</cp:coreProperties>
</file>